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22" w:rsidRPr="00576B22" w:rsidRDefault="00576B22" w:rsidP="00576B22">
      <w:pPr>
        <w:shd w:val="clear" w:color="auto" w:fill="FFFFFF" w:themeFill="background1"/>
        <w:spacing w:after="0" w:line="360" w:lineRule="atLeast"/>
        <w:outlineLvl w:val="1"/>
        <w:rPr>
          <w:rFonts w:ascii="Arial" w:eastAsia="Times New Roman" w:hAnsi="Arial" w:cs="Arial"/>
          <w:b/>
          <w:bCs/>
          <w:color w:val="A43039"/>
          <w:sz w:val="39"/>
          <w:szCs w:val="39"/>
          <w:lang w:eastAsia="ru-RU"/>
        </w:rPr>
      </w:pPr>
      <w:bookmarkStart w:id="0" w:name="_GoBack"/>
      <w:bookmarkEnd w:id="0"/>
      <w:r w:rsidRPr="00576B22">
        <w:rPr>
          <w:rFonts w:ascii="Arial" w:eastAsia="Times New Roman" w:hAnsi="Arial" w:cs="Arial"/>
          <w:b/>
          <w:bCs/>
          <w:color w:val="A43039"/>
          <w:sz w:val="24"/>
          <w:szCs w:val="24"/>
          <w:bdr w:val="none" w:sz="0" w:space="0" w:color="auto" w:frame="1"/>
          <w:lang w:eastAsia="ru-RU"/>
        </w:rPr>
        <w:t>SKIN-B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noProof/>
          <w:color w:val="4E4E4E"/>
          <w:sz w:val="18"/>
          <w:szCs w:val="18"/>
          <w:lang w:eastAsia="ru-RU"/>
        </w:rPr>
        <w:drawing>
          <wp:inline distT="0" distB="0" distL="0" distR="0">
            <wp:extent cx="1996440" cy="1744980"/>
            <wp:effectExtent l="0" t="0" r="3810" b="7620"/>
            <wp:docPr id="3" name="Рисунок 3" descr="SKI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N 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Оказывает мощный биостимулирующий эффект, активизирует биологические функции и физиологию кожи, как следствие, вызывает видимое эстетическое улучшение.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Двойной эффект</w:t>
      </w:r>
    </w:p>
    <w:p w:rsidR="00576B22" w:rsidRPr="00576B22" w:rsidRDefault="00576B22" w:rsidP="00576B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Биостимулирующие процедуры с препаратом </w:t>
      </w:r>
      <w:proofErr w:type="spellStart"/>
      <w:r w:rsidRPr="00576B2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B </w:t>
      </w: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имеют немедленный укрепляющий эффект за счет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кислоты, которая разглаживает кожу, насыщает влагой и добавляет объем.</w:t>
      </w:r>
    </w:p>
    <w:p w:rsidR="00576B22" w:rsidRPr="00576B22" w:rsidRDefault="00576B22" w:rsidP="00576B2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то же время специальная формула активизирует производство собственной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кислоты, коллагена и эластина в дерме. Следовательно, эффект закрепляется и сохраняется на продолжительное время, поддерживая эластичность, свежесть и молодость кожи.</w:t>
      </w:r>
    </w:p>
    <w:p w:rsid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Уникальный </w:t>
      </w:r>
      <w:r w:rsidRPr="00576B22">
        <w:rPr>
          <w:rFonts w:ascii="Verdana" w:eastAsia="Times New Roman" w:hAnsi="Verdana" w:cs="Times New Roman"/>
          <w:i/>
          <w:iCs/>
          <w:color w:val="4E4E4E"/>
          <w:sz w:val="18"/>
          <w:szCs w:val="18"/>
          <w:bdr w:val="none" w:sz="0" w:space="0" w:color="auto" w:frame="1"/>
          <w:lang w:eastAsia="ru-RU"/>
        </w:rPr>
        <w:t>биостимулирующий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 эффект от применения </w:t>
      </w: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 xml:space="preserve"> B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 — это значительный прорыв в эстетической медицине.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proofErr w:type="gramStart"/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  <w:t>Уникальность  препарата</w:t>
      </w:r>
      <w:proofErr w:type="gramEnd"/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  <w:t> заключена в его составе:</w:t>
      </w:r>
    </w:p>
    <w:p w:rsidR="00576B22" w:rsidRPr="00576B22" w:rsidRDefault="00576B22" w:rsidP="00576B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кислота биосинтетического происхождения. Основная роль молекулы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кислоты — увлажнение (такая </w:t>
      </w:r>
      <w:proofErr w:type="gram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</w:t>
      </w:r>
      <w:proofErr w:type="gram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и в других препаратах для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биоревитализации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576B22" w:rsidRPr="00576B22" w:rsidRDefault="00576B22" w:rsidP="00576B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кислота представлена в виде коротких цепочек — мономеров.</w:t>
      </w:r>
    </w:p>
    <w:p w:rsidR="00576B22" w:rsidRPr="00576B22" w:rsidRDefault="00576B22" w:rsidP="00576B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Аминокислоты в L-форме.</w:t>
      </w:r>
    </w:p>
    <w:p w:rsidR="00576B22" w:rsidRPr="00576B22" w:rsidRDefault="00576B22" w:rsidP="00576B2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Буферная система бикарбоната (рН 7,4).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Что это дает?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Известно, что длинная молекула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кислоты, обычно используемая в препаратах для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биоревитализации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обладает свойствами: подавлять деление клеток и их миграцию.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Короткие цепи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к-ты в SKIN B и SKIN R обладают стимулирующим свойством на деление клеток, активируя определенные рецепторы фибробластов (СD 44).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Таким образом, короткие цепи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 стимулируя фибробласты, способствуют образованию собственных новых компонентов дермы: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гликозаминогликанов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ретикулярного коллагена III типа, эластина.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Для чего нужны Аминокислоты в L-форме?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Коллаген состоит из схожих последовательностей аминокислот, и отличается от других белков:</w:t>
      </w:r>
    </w:p>
    <w:p w:rsidR="00576B22" w:rsidRPr="00576B22" w:rsidRDefault="00576B22" w:rsidP="00576B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молекуле коллагена примерно треть аминокислотных остатков приходится на Глицин, что необычайно много для белков. Глицин — обеспечивает гибкость аминокислотным последовательностям, скручивает их в спираль;</w:t>
      </w:r>
    </w:p>
    <w:p w:rsidR="00576B22" w:rsidRPr="00576B22" w:rsidRDefault="00576B22" w:rsidP="00576B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Количество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Пролина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 коллагене тоже выше, чем в большинстве других белков;</w:t>
      </w:r>
    </w:p>
    <w:p w:rsidR="00576B22" w:rsidRPr="00576B22" w:rsidRDefault="00576B22" w:rsidP="00576B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Пролин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 Лизин включаются в аминокислотную последовательность в процессе синтеза коллагена в фибробластах на этапе молекулярного уровня организации.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i/>
          <w:iCs/>
          <w:color w:val="4E4E4E"/>
          <w:sz w:val="18"/>
          <w:szCs w:val="18"/>
          <w:bdr w:val="none" w:sz="0" w:space="0" w:color="auto" w:frame="1"/>
          <w:lang w:eastAsia="ru-RU"/>
        </w:rPr>
        <w:t>Введение в дерму этих аминокислот в строго определенной концентрации в препаратах SKIN B и SKIN R способствует более быстрой продукции коллагена.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Валин, лейцин, изолейцин — незаменимые аминокислоты, одни из главных компонентов для роста и синтеза тканей тела. Действуя вместе, они являются источником энергии на клеточном уровне, способствуют восстановлению костей, мышц и кожи. Поэтому их прием часто рекомендуют в восстановительный период после травм и операций.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Все вместе они обеспечивают стимуляцию максимальной скорости выработки коллагена.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рН 7,4 - почему это важно?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Дерма для своего функционирования должна иметь слегка щелочную среду с физиологичным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pH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7,4 в норме. Однако, все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биоревитализанты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при введении в дерму немного окисляют матрикс. Переход 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lastRenderedPageBreak/>
        <w:t xml:space="preserve">среды в более окисленное состояние приводит к уплотнению коллоидального матрикса и как следствие: ухудшение обмена веществ в дерме. Буферная система бикарбоната в препарате SKIN B сохраняет значение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pH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 7,4 неизменным, тем самым улучшая обмен веществ в дерме.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Результат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SKIN B омолаживает кожу, разглаживает:</w:t>
      </w:r>
    </w:p>
    <w:p w:rsidR="00576B22" w:rsidRPr="00576B22" w:rsidRDefault="00576B22" w:rsidP="00576B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неглубокие морщины на лбу,</w:t>
      </w:r>
    </w:p>
    <w:p w:rsidR="00576B22" w:rsidRPr="00576B22" w:rsidRDefault="00576B22" w:rsidP="00576B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морщины вокруг глаз и губ,</w:t>
      </w:r>
    </w:p>
    <w:p w:rsidR="00576B22" w:rsidRPr="00576B22" w:rsidRDefault="00576B22" w:rsidP="00576B2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уменьшает „</w:t>
      </w:r>
      <w:proofErr w:type="gram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мешки“ под</w:t>
      </w:r>
      <w:proofErr w:type="gram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глазами.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Упаковка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Выпускается в комплекте из 3-х одноразовых ампул по 5 мл.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76B22" w:rsidRPr="00576B22" w:rsidRDefault="00576B22" w:rsidP="00576B22">
      <w:pPr>
        <w:shd w:val="clear" w:color="auto" w:fill="FFFFFF" w:themeFill="background1"/>
        <w:spacing w:after="0" w:line="360" w:lineRule="atLeast"/>
        <w:outlineLvl w:val="1"/>
        <w:rPr>
          <w:rFonts w:ascii="Conv_MyriadPro-SemiboldCond" w:eastAsia="Times New Roman" w:hAnsi="Conv_MyriadPro-SemiboldCond" w:cs="Times New Roman"/>
          <w:b/>
          <w:bCs/>
          <w:color w:val="A43039"/>
          <w:sz w:val="39"/>
          <w:szCs w:val="39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color w:val="A43039"/>
          <w:sz w:val="24"/>
          <w:szCs w:val="24"/>
          <w:bdr w:val="none" w:sz="0" w:space="0" w:color="auto" w:frame="1"/>
          <w:lang w:eastAsia="ru-RU"/>
        </w:rPr>
        <w:t>SKIN-R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noProof/>
          <w:color w:val="4E4E4E"/>
          <w:sz w:val="18"/>
          <w:szCs w:val="18"/>
          <w:lang w:eastAsia="ru-RU"/>
        </w:rPr>
        <w:drawing>
          <wp:inline distT="0" distB="0" distL="0" distR="0">
            <wp:extent cx="1996440" cy="1744980"/>
            <wp:effectExtent l="0" t="0" r="3810" b="7620"/>
            <wp:docPr id="2" name="Рисунок 2" descr="SKIN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N 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Оказывает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биореструктуризирующее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действие, изменяя структурные компоненты дермы с образованием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фибротического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коллагена, тем самым обеспечивая уникальный эффект хирургического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лифтинга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Двойной эффект:</w:t>
      </w:r>
    </w:p>
    <w:p w:rsidR="00576B22" w:rsidRPr="00576B22" w:rsidRDefault="00576B22" w:rsidP="00576B2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 и аминокислоты усиливают синтетическую функцию фибробластов, в результате чего улучшается гидратация,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васкуляризация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кожи, уплотняется дерма.</w:t>
      </w:r>
    </w:p>
    <w:p w:rsidR="00576B22" w:rsidRPr="00576B22" w:rsidRDefault="00576B22" w:rsidP="00576B2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Биореструктуризирующее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действие SKIN R вызывает биологическую трансформацию компонентов дермы с образованием коллагена I типа, который формирует уникальный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лифтинговый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эффект.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  <w:t>Уникальность реструктуризирующего эффекта препарата SKIN R заключена в составе препарата:</w:t>
      </w:r>
    </w:p>
    <w:p w:rsidR="00576B22" w:rsidRPr="00576B22" w:rsidRDefault="00576B22" w:rsidP="00576B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 биосинтетического происхождения.</w:t>
      </w:r>
    </w:p>
    <w:p w:rsidR="00576B22" w:rsidRPr="00576B22" w:rsidRDefault="00576B22" w:rsidP="00576B2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Гипертонический раствор аминокислот в L-форме с рН дермы 5,8.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</w:t>
      </w:r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кислота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представленная в виде коротких цепочек — мономеров, которая активно увлажняет дерму и стимулирует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фибрабласты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вырабатывать собственные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дермальные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компоненты.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Гипертонический раствор аминокислот с кислотным рН активирует воспалительный процесс, тем самым запуская процесс реструктуризации дермы.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Факторы воспалительной реакции стимулируют соответствующие рецепторы (CD40 и CD39) фибробластов, способствуя выработке плотного, так называемого „</w:t>
      </w:r>
      <w:proofErr w:type="spellStart"/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фибротического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“ коллагена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I типа. Коллаген I типа, формирующийся при введении SKIN R укрепляет дерму и уплотняет расслабленную,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гипотоничную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кожу.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Результат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Немедленный укрепляющий,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лифтинговый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эффект на большую часть тела:</w:t>
      </w:r>
    </w:p>
    <w:p w:rsidR="00576B22" w:rsidRPr="00576B22" w:rsidRDefault="00576B22" w:rsidP="00576B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шею;</w:t>
      </w:r>
    </w:p>
    <w:p w:rsidR="00576B22" w:rsidRPr="00576B22" w:rsidRDefault="00576B22" w:rsidP="00576B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область декольте;</w:t>
      </w:r>
    </w:p>
    <w:p w:rsidR="00576B22" w:rsidRPr="00576B22" w:rsidRDefault="00576B22" w:rsidP="00576B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руки, кисти рук;</w:t>
      </w:r>
    </w:p>
    <w:p w:rsidR="00576B22" w:rsidRPr="00576B22" w:rsidRDefault="00576B22" w:rsidP="00576B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живот;</w:t>
      </w:r>
    </w:p>
    <w:p w:rsidR="00576B22" w:rsidRPr="00576B22" w:rsidRDefault="00576B22" w:rsidP="00576B2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бедра.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Мощный эффект подтяжки возрастного лица, сравнимый с эффектом от хирургического воздействия.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Упаковка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Выпускается в комплекте из 3-х одноразовых ампул по 10 мл.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576B22" w:rsidRPr="00576B22" w:rsidRDefault="00576B22" w:rsidP="00576B22">
      <w:pPr>
        <w:shd w:val="clear" w:color="auto" w:fill="FFFFFF" w:themeFill="background1"/>
        <w:spacing w:after="0" w:line="360" w:lineRule="atLeast"/>
        <w:outlineLvl w:val="1"/>
        <w:rPr>
          <w:rFonts w:ascii="Conv_MyriadPro-SemiboldCond" w:eastAsia="Times New Roman" w:hAnsi="Conv_MyriadPro-SemiboldCond" w:cs="Times New Roman"/>
          <w:b/>
          <w:bCs/>
          <w:color w:val="A43039"/>
          <w:sz w:val="39"/>
          <w:szCs w:val="39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color w:val="A43039"/>
          <w:sz w:val="24"/>
          <w:szCs w:val="24"/>
          <w:bdr w:val="none" w:sz="0" w:space="0" w:color="auto" w:frame="1"/>
          <w:lang w:eastAsia="ru-RU"/>
        </w:rPr>
        <w:t>SKIN-C и SKIN-OX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noProof/>
          <w:color w:val="4E4E4E"/>
          <w:sz w:val="18"/>
          <w:szCs w:val="18"/>
          <w:lang w:eastAsia="ru-RU"/>
        </w:rPr>
        <w:drawing>
          <wp:inline distT="0" distB="0" distL="0" distR="0">
            <wp:extent cx="3048000" cy="1264920"/>
            <wp:effectExtent l="0" t="0" r="0" b="0"/>
            <wp:docPr id="1" name="Рисунок 1" descr="SKIN-C и SKIN-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N-C и SKIN-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-C (</w:t>
      </w: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биостимуляция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 xml:space="preserve"> + </w:t>
      </w: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лифтинг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)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кислота с аминокислотами и холином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Состав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Натриевая соль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серин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аланин</w:t>
      </w:r>
      <w:proofErr w:type="spellEnd"/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,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гидрохлорид L-лизина,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пролин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, цистеин, холин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битартрат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, хлористый натрий,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дигидрат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двухосновного фосфата натрия,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дигидрат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одноосновного фосфата натрия, вода для инъекционных растворов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Свойства основных компонентов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 xml:space="preserve"> кислота - 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представлена в виде фрагментов из 20-38 </w:t>
      </w:r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мономеров,  оказывающих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  наиболее мощное стимулирующее воздействие на фибробласты, активируя рецепторы CD44 на синтез уже собственной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кислоты, коллагена III типа и эластина.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Аминокислоты - 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по закону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эндомодуляции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повышают активность фибробластов, являясь субстратом для синтеза   коллагена и эластина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Холин: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является предшественником ацетилхолина и по своим свойствам активации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холенергической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системы кожи значительно превосходит хорошо зарекомендовавший себя в косметологии DMAE (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диметилэтаноламин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повышает регенераторные способности кожи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увеличивает уровень гидратации эпидермиса и уже после однократного применения повышает содержание воды в эпидермисе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снижает тонус кровеносных сосудов, что приводит к их дилатации и улучшению кровоснабжения кожи, активации газообмена и оптимизации трофики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перестраивает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цитоскелет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фибробластов, изменяя форму клеток в следствие чего происходит натяжение коллагеновых волокон</w:t>
      </w:r>
    </w:p>
    <w:p w:rsidR="00576B22" w:rsidRPr="00576B22" w:rsidRDefault="00576B22" w:rsidP="00576B2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повышает мышечный тонус, что положительно сказывается на общем состоянии кожи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21"/>
          <w:szCs w:val="21"/>
          <w:bdr w:val="none" w:sz="0" w:space="0" w:color="auto" w:frame="1"/>
          <w:lang w:eastAsia="ru-RU"/>
        </w:rPr>
        <w:t>Эффект от применения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Препарат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-C </w:t>
      </w:r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активизирует  биологические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функции и улучшает физиологию дермы, обладает быстрым увлажняющим эффектом, укрепляет и подтягивает кожу, оказывает мгновенный и пролонгированный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лифтинговый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эффект, повышает тонус и тургор кожи, выравнивает цвет лица, способствует разглаживанию мелких морщин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Показания к применению</w:t>
      </w:r>
    </w:p>
    <w:p w:rsidR="00576B22" w:rsidRPr="00576B22" w:rsidRDefault="00576B22" w:rsidP="00576B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дегидратация кожи</w:t>
      </w:r>
    </w:p>
    <w:p w:rsidR="00576B22" w:rsidRPr="00576B22" w:rsidRDefault="00576B22" w:rsidP="00576B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тургора и эластичности кожи</w:t>
      </w:r>
    </w:p>
    <w:p w:rsidR="00576B22" w:rsidRPr="00576B22" w:rsidRDefault="00576B22" w:rsidP="00576B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дряблость кожи</w:t>
      </w:r>
    </w:p>
    <w:p w:rsidR="00576B22" w:rsidRPr="00576B22" w:rsidRDefault="00576B22" w:rsidP="00576B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атоничная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увядающая кожа лица, шеи, декольте</w:t>
      </w:r>
    </w:p>
    <w:p w:rsidR="00576B22" w:rsidRPr="00576B22" w:rsidRDefault="00576B22" w:rsidP="00576B2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профилактика и терапия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хроностарения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фотостарения кожи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21"/>
          <w:szCs w:val="21"/>
          <w:bdr w:val="none" w:sz="0" w:space="0" w:color="auto" w:frame="1"/>
          <w:lang w:eastAsia="ru-RU"/>
        </w:rPr>
        <w:t>Техника введения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Папульная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по всей области лица, шеи, декольте (1 ампула на процедуру)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Упаковка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Комплект из 3-х одноразовых ампул по 5 мл.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Применение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По показаниям.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Одна из возможных схем применения препарат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-C:</w:t>
      </w:r>
    </w:p>
    <w:tbl>
      <w:tblPr>
        <w:tblW w:w="1040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298"/>
      </w:tblGrid>
      <w:tr w:rsidR="00576B22" w:rsidRPr="00576B22" w:rsidTr="00576B22">
        <w:trPr>
          <w:trHeight w:val="225"/>
        </w:trPr>
        <w:tc>
          <w:tcPr>
            <w:tcW w:w="510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Периодичность проведения процедуры</w:t>
            </w:r>
          </w:p>
        </w:tc>
        <w:tc>
          <w:tcPr>
            <w:tcW w:w="529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proofErr w:type="spellStart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Skin</w:t>
            </w:r>
            <w:proofErr w:type="spellEnd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-B + </w:t>
            </w:r>
            <w:proofErr w:type="spellStart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Skin</w:t>
            </w:r>
            <w:proofErr w:type="spellEnd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-C</w:t>
            </w:r>
          </w:p>
        </w:tc>
      </w:tr>
      <w:tr w:rsidR="00576B22" w:rsidRPr="00576B22" w:rsidTr="00576B22">
        <w:trPr>
          <w:trHeight w:val="3862"/>
        </w:trPr>
        <w:tc>
          <w:tcPr>
            <w:tcW w:w="510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lastRenderedPageBreak/>
              <w:t>1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2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3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4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5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6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7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8 неделя</w:t>
            </w:r>
          </w:p>
        </w:tc>
        <w:tc>
          <w:tcPr>
            <w:tcW w:w="529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Skin-C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 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Skin-C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 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Skin-C</w:t>
            </w:r>
          </w:p>
        </w:tc>
      </w:tr>
    </w:tbl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Возможно использование препарата самостоятельно в качестве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монотерапии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-OX (</w:t>
      </w: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биостимуляция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 xml:space="preserve"> + антиоксидантная защита)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кислота с аминокислотами и антиоксидантами (витамин С и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глутатион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)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Состав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Натриевая соль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серин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аланин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L-цистеин, L-лейцин, гидрохлорид L-лизина,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пролин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, L-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валин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, глицин,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аскорбил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фосфат натрия, восстановленный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глутатион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дигидрат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двухосновного фосфата натрия,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дигидрат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одноосновного фосфата натрия, хлористый натрий, вода для инъекционных растворов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Свойства основных компонентов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Гиалуроновая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 xml:space="preserve"> кислота - 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представлена в виде фрагментов из 20-38 </w:t>
      </w:r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мономеров,  оказывающих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  наиболее мощное стимулирующее воздействие на фибробласты, активируя рецепторы CD44 на синтез уже собственной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гиалуроновой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кислоты, коллагена III типа и эластина.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Аминокислоты - 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по закону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эндомодуляции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повышают активность фибробластов, являясь субстратом для синтеза коллагена и эластина.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Витамин С:</w:t>
      </w:r>
    </w:p>
    <w:p w:rsidR="00576B22" w:rsidRPr="00576B22" w:rsidRDefault="00576B22" w:rsidP="00576B2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обладает мощным антиоксидантным действием, быстро нейтрализует реактивные формы кислорода</w:t>
      </w:r>
    </w:p>
    <w:p w:rsidR="00576B22" w:rsidRPr="00576B22" w:rsidRDefault="00576B22" w:rsidP="00576B2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синтезирует коллаген, регулируя его ген транскрипции, играет важную роль в синтезе составных компонентов внеклеточной матрицы соединительной ткани</w:t>
      </w:r>
    </w:p>
    <w:p w:rsidR="00576B22" w:rsidRPr="00576B22" w:rsidRDefault="00576B22" w:rsidP="00576B2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стимулирует активность фибробластов и укрепляет соединительную ткань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Глутатион</w:t>
      </w:r>
      <w:proofErr w:type="spellEnd"/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:</w:t>
      </w:r>
    </w:p>
    <w:p w:rsidR="00576B22" w:rsidRPr="00576B22" w:rsidRDefault="00576B22" w:rsidP="00576B2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является мощным антиоксидантом, защищает клетки от токсинов (свободных радикалов)</w:t>
      </w:r>
    </w:p>
    <w:p w:rsidR="00576B22" w:rsidRPr="00576B22" w:rsidRDefault="00576B22" w:rsidP="00576B2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участвует в образовании коллагена и эластина</w:t>
      </w:r>
    </w:p>
    <w:p w:rsidR="00576B22" w:rsidRPr="00576B22" w:rsidRDefault="00576B22" w:rsidP="00576B2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способствует восстановлению кожи, регулирует </w:t>
      </w:r>
      <w:proofErr w:type="spellStart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окислительно</w:t>
      </w:r>
      <w:proofErr w:type="spellEnd"/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-восстановительный потенциала клетки</w:t>
      </w:r>
    </w:p>
    <w:p w:rsidR="00576B22" w:rsidRPr="00576B22" w:rsidRDefault="00576B22" w:rsidP="00576B2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выполняет питательную функцию регулирования клеточной жизнедеятельности, включая проявление гена ДНК, синтез белка и обновление, рост клеток, метаболизм токсинов и канцерогенных веществ, повышение иммунной системы, и предотвращение полного окисления.</w:t>
      </w:r>
      <w:r w:rsidRPr="00576B2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Эффект от применения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Препарат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-OX активизирует биологические функции и улучшает физиологию дермы, обладает быстрым увлажняющим </w:t>
      </w:r>
      <w:proofErr w:type="gram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эффектом,  оказывает</w:t>
      </w:r>
      <w:proofErr w:type="gram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мощное антиоксидантное действие на клеточном уровне, повышает эластичность и упругость кожи, выравнивает цвет лица, способствует разглаживанию мелких морщин и улучшению рельефа кожи, уменьшает проявление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купероза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и пигментных пятен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Показания к применению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дегидратация кожи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эластичности и упругости кожи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профилактика и коррекция возрастных изменений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«кожа курильщика»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негативное воздействие УФ-лучей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пигментации</w:t>
      </w:r>
    </w:p>
    <w:p w:rsidR="00576B22" w:rsidRPr="00576B22" w:rsidRDefault="00576B22" w:rsidP="00576B2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нарушение микроциркуляции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Техника введения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lastRenderedPageBreak/>
        <w:t>Папульная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 по всей области лица, шеи, декольте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Упаковка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Комплект из 3-х одноразовых ампул по 5 мл.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outlineLvl w:val="2"/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lang w:eastAsia="ru-RU"/>
        </w:rPr>
      </w:pPr>
      <w:r w:rsidRPr="00576B22">
        <w:rPr>
          <w:rFonts w:ascii="Conv_MyriadPro-SemiboldCond" w:eastAsia="Times New Roman" w:hAnsi="Conv_MyriadPro-SemiboldCond" w:cs="Times New Roman"/>
          <w:b/>
          <w:bCs/>
          <w:i/>
          <w:iCs/>
          <w:color w:val="B32E42"/>
          <w:sz w:val="20"/>
          <w:szCs w:val="20"/>
          <w:bdr w:val="none" w:sz="0" w:space="0" w:color="auto" w:frame="1"/>
          <w:lang w:eastAsia="ru-RU"/>
        </w:rPr>
        <w:t>Применение </w:t>
      </w:r>
    </w:p>
    <w:p w:rsidR="00576B22" w:rsidRPr="00576B22" w:rsidRDefault="00576B22" w:rsidP="00576B2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b/>
          <w:bCs/>
          <w:color w:val="4E4E4E"/>
          <w:sz w:val="18"/>
          <w:szCs w:val="18"/>
          <w:bdr w:val="none" w:sz="0" w:space="0" w:color="auto" w:frame="1"/>
          <w:lang w:eastAsia="ru-RU"/>
        </w:rPr>
        <w:t> </w:t>
      </w: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По показаниям.</w:t>
      </w:r>
    </w:p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Одна из возможных схем применения препарат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Skin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-OX:</w:t>
      </w:r>
    </w:p>
    <w:tbl>
      <w:tblPr>
        <w:tblW w:w="10502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358"/>
      </w:tblGrid>
      <w:tr w:rsidR="00576B22" w:rsidRPr="00576B22" w:rsidTr="00576B22">
        <w:trPr>
          <w:trHeight w:val="205"/>
        </w:trPr>
        <w:tc>
          <w:tcPr>
            <w:tcW w:w="5144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Периодичность проведения процедуры</w:t>
            </w:r>
          </w:p>
        </w:tc>
        <w:tc>
          <w:tcPr>
            <w:tcW w:w="535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proofErr w:type="spellStart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Skin</w:t>
            </w:r>
            <w:proofErr w:type="spellEnd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-B + </w:t>
            </w:r>
            <w:proofErr w:type="spellStart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Skin</w:t>
            </w:r>
            <w:proofErr w:type="spellEnd"/>
            <w:r w:rsidRPr="00576B22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-OX</w:t>
            </w:r>
          </w:p>
        </w:tc>
      </w:tr>
      <w:tr w:rsidR="00576B22" w:rsidRPr="00576B22" w:rsidTr="00576B22">
        <w:trPr>
          <w:trHeight w:val="3931"/>
        </w:trPr>
        <w:tc>
          <w:tcPr>
            <w:tcW w:w="5144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1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2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3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4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5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6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7 неделя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8 неделя</w:t>
            </w:r>
          </w:p>
        </w:tc>
        <w:tc>
          <w:tcPr>
            <w:tcW w:w="535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Skin-B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Skin-OX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 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Skin-OX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 </w:t>
            </w:r>
          </w:p>
          <w:p w:rsidR="00576B22" w:rsidRPr="00576B22" w:rsidRDefault="00576B22" w:rsidP="00576B22">
            <w:pPr>
              <w:shd w:val="clear" w:color="auto" w:fill="FFFFFF" w:themeFill="background1"/>
              <w:spacing w:after="27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</w:pPr>
            <w:r w:rsidRPr="00576B22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val="en-US" w:eastAsia="ru-RU"/>
              </w:rPr>
              <w:t>Skin-OX</w:t>
            </w:r>
          </w:p>
        </w:tc>
      </w:tr>
    </w:tbl>
    <w:p w:rsidR="00576B22" w:rsidRPr="00576B22" w:rsidRDefault="00576B22" w:rsidP="00576B22">
      <w:pPr>
        <w:shd w:val="clear" w:color="auto" w:fill="FFFFFF" w:themeFill="background1"/>
        <w:spacing w:after="270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 xml:space="preserve">Возможно использование препарата самостоятельно в качестве </w:t>
      </w:r>
      <w:proofErr w:type="spellStart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монотерапии</w:t>
      </w:r>
      <w:proofErr w:type="spellEnd"/>
      <w:r w:rsidRPr="00576B22"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  <w:t>.</w:t>
      </w:r>
    </w:p>
    <w:p w:rsidR="000F274C" w:rsidRDefault="000F274C"/>
    <w:sectPr w:rsidR="000F274C" w:rsidSect="00576B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v_MyriadPro-Semibold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E0A"/>
    <w:multiLevelType w:val="multilevel"/>
    <w:tmpl w:val="813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66A3"/>
    <w:multiLevelType w:val="multilevel"/>
    <w:tmpl w:val="89E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15F7D"/>
    <w:multiLevelType w:val="multilevel"/>
    <w:tmpl w:val="294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A4514"/>
    <w:multiLevelType w:val="multilevel"/>
    <w:tmpl w:val="957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265FB"/>
    <w:multiLevelType w:val="multilevel"/>
    <w:tmpl w:val="4F8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91FFD"/>
    <w:multiLevelType w:val="multilevel"/>
    <w:tmpl w:val="C334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51C87"/>
    <w:multiLevelType w:val="multilevel"/>
    <w:tmpl w:val="22C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138F1"/>
    <w:multiLevelType w:val="multilevel"/>
    <w:tmpl w:val="590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E3E96"/>
    <w:multiLevelType w:val="multilevel"/>
    <w:tmpl w:val="A7A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1104D"/>
    <w:multiLevelType w:val="multilevel"/>
    <w:tmpl w:val="2292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20A4E"/>
    <w:multiLevelType w:val="multilevel"/>
    <w:tmpl w:val="1F9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D2CC5"/>
    <w:multiLevelType w:val="multilevel"/>
    <w:tmpl w:val="680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2"/>
    <w:rsid w:val="00015933"/>
    <w:rsid w:val="00026E9D"/>
    <w:rsid w:val="00027DC8"/>
    <w:rsid w:val="00040D6F"/>
    <w:rsid w:val="000A293C"/>
    <w:rsid w:val="000B55B6"/>
    <w:rsid w:val="000C51D1"/>
    <w:rsid w:val="000E7207"/>
    <w:rsid w:val="000F274C"/>
    <w:rsid w:val="001322B8"/>
    <w:rsid w:val="00157763"/>
    <w:rsid w:val="00171983"/>
    <w:rsid w:val="001A25DD"/>
    <w:rsid w:val="001D13FA"/>
    <w:rsid w:val="0024200E"/>
    <w:rsid w:val="00260F79"/>
    <w:rsid w:val="00283589"/>
    <w:rsid w:val="002D67D0"/>
    <w:rsid w:val="00371477"/>
    <w:rsid w:val="003D1326"/>
    <w:rsid w:val="00436884"/>
    <w:rsid w:val="00452BA0"/>
    <w:rsid w:val="004B54CA"/>
    <w:rsid w:val="004F5AE1"/>
    <w:rsid w:val="00510C8D"/>
    <w:rsid w:val="00516358"/>
    <w:rsid w:val="005200CE"/>
    <w:rsid w:val="00551938"/>
    <w:rsid w:val="00567D0F"/>
    <w:rsid w:val="00576B22"/>
    <w:rsid w:val="005D74AA"/>
    <w:rsid w:val="006106C4"/>
    <w:rsid w:val="0062560B"/>
    <w:rsid w:val="006B13D3"/>
    <w:rsid w:val="006B427D"/>
    <w:rsid w:val="006D4D73"/>
    <w:rsid w:val="00710542"/>
    <w:rsid w:val="0074639B"/>
    <w:rsid w:val="00785D6C"/>
    <w:rsid w:val="0078691E"/>
    <w:rsid w:val="007B2BB1"/>
    <w:rsid w:val="007C1F7F"/>
    <w:rsid w:val="007E4BBF"/>
    <w:rsid w:val="007F39BD"/>
    <w:rsid w:val="00822494"/>
    <w:rsid w:val="0082433C"/>
    <w:rsid w:val="00861676"/>
    <w:rsid w:val="008839E6"/>
    <w:rsid w:val="009168BC"/>
    <w:rsid w:val="00954E4F"/>
    <w:rsid w:val="0096176B"/>
    <w:rsid w:val="00996AF8"/>
    <w:rsid w:val="00A05865"/>
    <w:rsid w:val="00A85142"/>
    <w:rsid w:val="00AA2591"/>
    <w:rsid w:val="00AD128C"/>
    <w:rsid w:val="00AD38F3"/>
    <w:rsid w:val="00AD4E49"/>
    <w:rsid w:val="00AF1DF3"/>
    <w:rsid w:val="00BB10EE"/>
    <w:rsid w:val="00C03269"/>
    <w:rsid w:val="00C4794C"/>
    <w:rsid w:val="00C52B17"/>
    <w:rsid w:val="00C7376D"/>
    <w:rsid w:val="00C93E4A"/>
    <w:rsid w:val="00CB33A4"/>
    <w:rsid w:val="00CB6E3D"/>
    <w:rsid w:val="00CE60E9"/>
    <w:rsid w:val="00D0012D"/>
    <w:rsid w:val="00DB2487"/>
    <w:rsid w:val="00DB7BD8"/>
    <w:rsid w:val="00E45DC5"/>
    <w:rsid w:val="00E64D3D"/>
    <w:rsid w:val="00E67EFF"/>
    <w:rsid w:val="00ED4EAD"/>
    <w:rsid w:val="00EF0C17"/>
    <w:rsid w:val="00F246FF"/>
    <w:rsid w:val="00F801A8"/>
    <w:rsid w:val="00FB3E1E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660C-A6D1-4D24-A2F4-ECF8245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6B22"/>
    <w:rPr>
      <w:b/>
      <w:bCs/>
    </w:rPr>
  </w:style>
  <w:style w:type="paragraph" w:styleId="a4">
    <w:name w:val="Normal (Web)"/>
    <w:basedOn w:val="a"/>
    <w:uiPriority w:val="99"/>
    <w:semiHidden/>
    <w:unhideWhenUsed/>
    <w:rsid w:val="0057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Лазарев</dc:creator>
  <cp:keywords/>
  <dc:description/>
  <cp:lastModifiedBy>Алексей Лазарев</cp:lastModifiedBy>
  <cp:revision>1</cp:revision>
  <dcterms:created xsi:type="dcterms:W3CDTF">2014-06-02T09:40:00Z</dcterms:created>
  <dcterms:modified xsi:type="dcterms:W3CDTF">2014-06-02T09:42:00Z</dcterms:modified>
</cp:coreProperties>
</file>